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ind w:firstLine="0"/>
        <w:jc w:val="center"/>
        <w:rPr>
          <w:rFonts w:ascii="Times New Roman" w:eastAsia="Times New Roman" w:hAnsi="Times New Roman" w:cs="Times New Roman"/>
          <w:b/>
          <w:sz w:val="26"/>
          <w:szCs w:val="26"/>
          <w:lang w:eastAsia="zh-CN"/>
        </w:rPr>
      </w:pPr>
      <w:r>
        <w:rPr>
          <w:rFonts w:ascii="Times New Roman" w:eastAsia="Times New Roman" w:hAnsi="Times New Roman" w:cs="Times New Roman"/>
          <w:b/>
          <w:sz w:val="26"/>
          <w:szCs w:val="26"/>
          <w:lang w:eastAsia="zh-CN"/>
        </w:rPr>
        <w:t>ПОЯСНИТЕЛЬНАЯ ЗАПИСКА</w:t>
      </w:r>
    </w:p>
    <w:p>
      <w:pPr>
        <w:spacing w:after="0" w:line="240" w:lineRule="auto"/>
        <w:ind w:firstLine="0"/>
        <w:jc w:val="center"/>
        <w:rPr>
          <w:rFonts w:ascii="Times New Roman" w:eastAsia="Times New Roman" w:hAnsi="Times New Roman" w:cs="Times New Roman"/>
          <w:b/>
          <w:sz w:val="26"/>
          <w:szCs w:val="26"/>
          <w:lang w:eastAsia="zh-CN"/>
        </w:rPr>
      </w:pPr>
      <w:r>
        <w:rPr>
          <w:rFonts w:ascii="Times New Roman" w:eastAsia="Times New Roman" w:hAnsi="Times New Roman" w:cs="Times New Roman"/>
          <w:b/>
          <w:sz w:val="26"/>
          <w:szCs w:val="26"/>
          <w:lang w:eastAsia="zh-CN"/>
        </w:rPr>
        <w:t xml:space="preserve">к проекту постановления Правительства Республики Хакасия </w:t>
      </w:r>
    </w:p>
    <w:p>
      <w:pPr>
        <w:spacing w:after="0" w:line="240" w:lineRule="auto"/>
        <w:ind w:firstLine="0"/>
        <w:jc w:val="center"/>
        <w:rPr>
          <w:rFonts w:ascii="Times New Roman" w:eastAsia="Times New Roman" w:hAnsi="Times New Roman" w:cs="Times New Roman"/>
          <w:b/>
          <w:bCs/>
          <w:sz w:val="26"/>
          <w:szCs w:val="26"/>
          <w:lang w:eastAsia="zh-CN"/>
        </w:rPr>
      </w:pPr>
      <w:r>
        <w:rPr>
          <w:rFonts w:ascii="Times New Roman" w:eastAsia="Times New Roman" w:hAnsi="Times New Roman" w:cs="Times New Roman"/>
          <w:b/>
          <w:bCs/>
          <w:sz w:val="26"/>
          <w:szCs w:val="26"/>
          <w:lang w:eastAsia="zh-CN"/>
        </w:rPr>
        <w:t>«Об утверждении Правил пользования маломерными судами на водных объектах на территории Республики Хакасия и признании утратившими силу некоторых постановлений Правительства Республики Хакасия и отдельных положений постановлений Правительства Республики Хакасия»</w:t>
      </w:r>
    </w:p>
    <w:p>
      <w:pPr>
        <w:spacing w:after="0" w:line="240" w:lineRule="auto"/>
        <w:ind w:firstLine="0"/>
        <w:jc w:val="center"/>
        <w:rPr>
          <w:rFonts w:ascii="Times New Roman" w:eastAsia="Times New Roman" w:hAnsi="Times New Roman" w:cs="Times New Roman"/>
          <w:b/>
          <w:sz w:val="26"/>
          <w:szCs w:val="26"/>
          <w:lang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eastAsia="Times New Roman" w:hAnsi="Times New Roman" w:cs="Times New Roman"/>
          <w:sz w:val="26"/>
          <w:szCs w:val="26"/>
          <w:highlight w:val="yellow"/>
          <w:lang w:eastAsia="zh-CN"/>
        </w:rPr>
      </w:pPr>
    </w:p>
    <w:p>
      <w:pPr>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 Предмет правового регулирования: предметом правового регулирования проекта постановления Правительства Республики Хакасия «Об утверждении Правил пользования маломерными судами на водных объектах на территории Республики Хакасия и признании утратившими силу некоторых постановлений Правительства Республики Хакасия и отдельных положений постановлений Правительства Республики Хакасия» (далее – Правила), являются правоотношения, касающиеся использования маломерных судов на водных объектах, расположенных на территории Республики Хакасия, а также обеспечения безопасности на водных объектах при плавании на маломерных судах.</w:t>
      </w:r>
    </w:p>
    <w:p>
      <w:pPr>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2. Обоснование необходимости принятия правового акта: </w:t>
      </w:r>
    </w:p>
    <w:p>
      <w:pPr>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С 01 сентября 2025 года вступил в силу Федеральный закон от 24.06.2025 </w:t>
      </w:r>
      <w:r>
        <w:rPr>
          <w:rFonts w:ascii="Times New Roman" w:eastAsia="Times New Roman" w:hAnsi="Times New Roman" w:cs="Times New Roman"/>
          <w:sz w:val="26"/>
          <w:szCs w:val="26"/>
          <w:lang w:eastAsia="zh-CN"/>
        </w:rPr>
        <w:br/>
        <w:t>№ 169-ФЗ «О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 согласно которому утратил силу  пункт 7 статьи 25 Водного кодекса Российской Федерации, закрепляющий за органами государственной власти субъектов Российской Федерации полномочие по утверждению правил пользования водными объектами для плавания на маломерных судах. Этим же федеральным законом вносятся изменения в пункт 112 части 1 статьи 44 Федерального закона от 21 декабря 2021 года № 414-ФЗ «Об общих принципах организации публичной власти в субъектах Российской Федерации», где слова «водными объектами для плавания на маломерных судах, правил охраны жизни» заменяются словами «маломерными судами на водных объектах на территории субъекта Российской Федерации».</w:t>
      </w:r>
    </w:p>
    <w:p>
      <w:pPr>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Также 01 сентября 2025 года вступил в силу Федеральный закон от 03.02.2025 № 4-ФЗ «О безопасности людей на водных объектах» (далее – Федеральный закон № 4–ФЗ), регулирующий отношения в области обеспечения безопасности людей на водных объектах и прилегающих к ним территориях, частью 1 статьи 17 которого установлено, что в целях обеспечения безопасности людей на водных объектах органами государственной власти субъекта Российской Федерации утверждаются правила пользования маломерными судами на водных объектах на территории субъекта Российской Федерации (далее – Правила). </w:t>
      </w:r>
      <w:r>
        <w:rPr>
          <w:rFonts w:ascii="Times New Roman" w:eastAsia="Times New Roman" w:hAnsi="Times New Roman" w:cs="Times New Roman"/>
          <w:sz w:val="26"/>
          <w:szCs w:val="26"/>
          <w:lang w:eastAsia="zh-CN"/>
        </w:rPr>
        <w:tab/>
        <w:t>Согласно части 3 вышеуказанной статьи полномочие по утверждению Правил возложено на высший исполнительный орган субъекта Российской Федерации.</w:t>
      </w:r>
    </w:p>
    <w:p>
      <w:pPr>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Учитывая изложенное, в целях приведения законодательства Республики Хакасия в соответствие с федеральным законодательством, требуется признать утратившим силу постановление Правительства Республики Хакасия от 27.06.2007 № 199 «Об утверждении Правил пользования водными объектами для плавания на маломерных судах в Республике Хакасия» и утвердить </w:t>
      </w:r>
      <w:r>
        <w:rPr>
          <w:rFonts w:ascii="Times New Roman" w:eastAsia="Times New Roman" w:hAnsi="Times New Roman" w:cs="Times New Roman"/>
          <w:bCs/>
          <w:sz w:val="26"/>
          <w:szCs w:val="26"/>
          <w:lang w:eastAsia="zh-CN"/>
        </w:rPr>
        <w:t>Правила пользования маломерными судами на водных объектах на территории Республики Хакасия.</w:t>
      </w:r>
    </w:p>
    <w:p>
      <w:pPr>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lastRenderedPageBreak/>
        <w:t>3. Характеристика основных положений проекта постановления: проектом постановления предполагается принять в соответствие с федеральным законодательством новые Правила пользования маломерными судами на водных объектах на территории Республики Хакасия, а Правила пользования водными объектами для плавания на маломерных судах признать утратившим силу.</w:t>
      </w:r>
    </w:p>
    <w:p>
      <w:pPr>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4.  Оценка эффективности и достаточности предлагаемых решений: данное решение будет единственным верным и достаточным.</w:t>
      </w:r>
    </w:p>
    <w:p>
      <w:pPr>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5. Прогноз социально-экономических и иных последствий реализации проекта постановления: негативные последствия отсутствуют.</w:t>
      </w:r>
    </w:p>
    <w:p>
      <w:pPr>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6.  Информация о соблюдении порядка принятия проекта постановления: принятие проекта постановления не предусматривает специальных требований к процедуре принятия подобных правовых актов.</w:t>
      </w:r>
    </w:p>
    <w:p>
      <w:pPr>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7. Указание на необходимость (или отсутствие необходимости) проведения процедуры оценки регулирующего воздействия: требуется ОРВ в соответствии с пунктом 1.3 постановления</w:t>
      </w:r>
      <w:r>
        <w:rPr>
          <w:rFonts w:ascii="Times New Roman" w:eastAsia="Times New Roman" w:hAnsi="Times New Roman" w:cs="Times New Roman"/>
          <w:sz w:val="26"/>
          <w:szCs w:val="26"/>
          <w:lang w:eastAsia="zh-CN"/>
        </w:rPr>
        <w:t xml:space="preserve"> Правительства Ре</w:t>
      </w:r>
      <w:r>
        <w:rPr>
          <w:rFonts w:ascii="Times New Roman" w:eastAsia="Times New Roman" w:hAnsi="Times New Roman" w:cs="Times New Roman"/>
          <w:sz w:val="26"/>
          <w:szCs w:val="26"/>
          <w:lang w:eastAsia="zh-CN"/>
        </w:rPr>
        <w:t xml:space="preserve">спублики Хакасия от 02.12.2013 </w:t>
      </w:r>
      <w:r>
        <w:rPr>
          <w:rFonts w:ascii="Times New Roman" w:eastAsia="Times New Roman" w:hAnsi="Times New Roman" w:cs="Times New Roman"/>
          <w:sz w:val="26"/>
          <w:szCs w:val="26"/>
          <w:lang w:eastAsia="zh-CN"/>
        </w:rPr>
        <w:br/>
        <w:t>№ 671 «</w:t>
      </w:r>
      <w:r>
        <w:rPr>
          <w:rFonts w:ascii="Times New Roman" w:eastAsia="Times New Roman" w:hAnsi="Times New Roman" w:cs="Times New Roman"/>
          <w:sz w:val="26"/>
          <w:szCs w:val="26"/>
          <w:lang w:eastAsia="zh-CN"/>
        </w:rPr>
        <w:t>Об утверждении Порядка оценки регулирующего воздействия проектов нормативных правовых актов Республики Хакасия, затрагивающих вопросы осуществления предпринимательской и иной экономической деятельности, и Порядка проведения экспертизы нормативных правовых актов Республики Хакасия, затрагивающих вопросы осуществления предпринимательско</w:t>
      </w:r>
      <w:r>
        <w:rPr>
          <w:rFonts w:ascii="Times New Roman" w:eastAsia="Times New Roman" w:hAnsi="Times New Roman" w:cs="Times New Roman"/>
          <w:sz w:val="26"/>
          <w:szCs w:val="26"/>
          <w:lang w:eastAsia="zh-CN"/>
        </w:rPr>
        <w:t>й и инвестиционной деятельности».</w:t>
      </w:r>
      <w:bookmarkStart w:id="0" w:name="_GoBack"/>
      <w:bookmarkEnd w:id="0"/>
    </w:p>
    <w:p>
      <w:pPr>
        <w:spacing w:after="0" w:line="240" w:lineRule="auto"/>
        <w:jc w:val="both"/>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pStyle w:val="af6"/>
        <w:rPr>
          <w:rFonts w:ascii="Times New Roman" w:hAnsi="Times New Roman" w:cs="Times New Roman"/>
          <w:sz w:val="26"/>
          <w:szCs w:val="26"/>
        </w:rPr>
      </w:pPr>
      <w:r>
        <w:rPr>
          <w:rFonts w:ascii="Times New Roman" w:hAnsi="Times New Roman" w:cs="Times New Roman"/>
          <w:sz w:val="26"/>
          <w:szCs w:val="26"/>
        </w:rPr>
        <w:t xml:space="preserve">Председатель Госкомитета                                                                                                                                                   </w:t>
      </w:r>
    </w:p>
    <w:p>
      <w:pPr>
        <w:pStyle w:val="af6"/>
        <w:rPr>
          <w:rFonts w:ascii="Times New Roman" w:hAnsi="Times New Roman" w:cs="Times New Roman"/>
          <w:sz w:val="26"/>
          <w:szCs w:val="26"/>
        </w:rPr>
      </w:pPr>
      <w:r>
        <w:rPr>
          <w:rFonts w:ascii="Times New Roman" w:hAnsi="Times New Roman" w:cs="Times New Roman"/>
          <w:sz w:val="26"/>
          <w:szCs w:val="26"/>
        </w:rPr>
        <w:t xml:space="preserve">по ГО, ЧС и ПБ Хакасии                                                                             В. Карамашев  </w:t>
      </w:r>
    </w:p>
    <w:p>
      <w:pPr>
        <w:spacing w:line="240" w:lineRule="auto"/>
        <w:ind w:firstLine="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p>
    <w:p>
      <w:pPr>
        <w:pStyle w:val="af6"/>
        <w:rPr>
          <w:rFonts w:ascii="Times New Roman" w:hAnsi="Times New Roman" w:cs="Times New Roman"/>
          <w:sz w:val="26"/>
          <w:szCs w:val="26"/>
        </w:rPr>
      </w:pPr>
      <w:r>
        <w:rPr>
          <w:rFonts w:ascii="Times New Roman" w:hAnsi="Times New Roman" w:cs="Times New Roman"/>
          <w:sz w:val="26"/>
          <w:szCs w:val="26"/>
        </w:rPr>
        <w:t xml:space="preserve">                </w:t>
      </w:r>
    </w:p>
    <w:p>
      <w:pPr>
        <w:spacing w:line="240" w:lineRule="auto"/>
        <w:ind w:firstLine="0"/>
        <w:rPr>
          <w:rFonts w:ascii="Times New Roman" w:hAnsi="Times New Roman" w:cs="Times New Roman"/>
          <w:sz w:val="26"/>
          <w:szCs w:val="26"/>
        </w:rPr>
      </w:pPr>
    </w:p>
    <w:sect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93B798-92C6-4CE5-9472-833D18C8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spacing w:before="600" w:after="0" w:line="360" w:lineRule="auto"/>
      <w:ind w:firstLine="0"/>
      <w:outlineLvl w:val="0"/>
    </w:pPr>
    <w:rPr>
      <w:rFonts w:ascii="Cambria" w:eastAsia="Times New Roman" w:hAnsi="Cambria" w:cs="Times New Roman"/>
      <w:b/>
      <w:bCs/>
      <w:i/>
      <w:iCs/>
      <w:sz w:val="32"/>
      <w:szCs w:val="32"/>
    </w:rPr>
  </w:style>
  <w:style w:type="paragraph" w:styleId="2">
    <w:name w:val="heading 2"/>
    <w:basedOn w:val="a"/>
    <w:next w:val="a"/>
    <w:link w:val="20"/>
    <w:uiPriority w:val="9"/>
    <w:unhideWhenUsed/>
    <w:qFormat/>
    <w:pPr>
      <w:spacing w:before="320" w:after="0" w:line="360" w:lineRule="auto"/>
      <w:ind w:firstLine="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pPr>
      <w:spacing w:before="320" w:after="0" w:line="360" w:lineRule="auto"/>
      <w:ind w:firstLine="0"/>
      <w:outlineLvl w:val="2"/>
    </w:pPr>
    <w:rPr>
      <w:rFonts w:ascii="Cambria" w:eastAsia="Times New Roman" w:hAnsi="Cambria" w:cs="Times New Roman"/>
      <w:b/>
      <w:bCs/>
      <w:i/>
      <w:iCs/>
      <w:sz w:val="26"/>
      <w:szCs w:val="26"/>
    </w:rPr>
  </w:style>
  <w:style w:type="paragraph" w:styleId="4">
    <w:name w:val="heading 4"/>
    <w:basedOn w:val="a"/>
    <w:next w:val="a"/>
    <w:link w:val="40"/>
    <w:uiPriority w:val="9"/>
    <w:semiHidden/>
    <w:unhideWhenUsed/>
    <w:qFormat/>
    <w:pPr>
      <w:spacing w:before="280" w:after="0" w:line="360" w:lineRule="auto"/>
      <w:ind w:firstLine="0"/>
      <w:outlineLvl w:val="3"/>
    </w:pPr>
    <w:rPr>
      <w:rFonts w:ascii="Cambria" w:eastAsia="Times New Roman" w:hAnsi="Cambria" w:cs="Times New Roman"/>
      <w:b/>
      <w:bCs/>
      <w:i/>
      <w:iCs/>
      <w:sz w:val="24"/>
      <w:szCs w:val="24"/>
    </w:rPr>
  </w:style>
  <w:style w:type="paragraph" w:styleId="5">
    <w:name w:val="heading 5"/>
    <w:basedOn w:val="a"/>
    <w:next w:val="a"/>
    <w:link w:val="50"/>
    <w:uiPriority w:val="9"/>
    <w:semiHidden/>
    <w:unhideWhenUsed/>
    <w:qFormat/>
    <w:pPr>
      <w:spacing w:before="280" w:after="0" w:line="360" w:lineRule="auto"/>
      <w:ind w:firstLine="0"/>
      <w:outlineLvl w:val="4"/>
    </w:pPr>
    <w:rPr>
      <w:rFonts w:ascii="Cambria" w:eastAsia="Times New Roman" w:hAnsi="Cambria" w:cs="Times New Roman"/>
      <w:b/>
      <w:bCs/>
      <w:i/>
      <w:iCs/>
    </w:rPr>
  </w:style>
  <w:style w:type="paragraph" w:styleId="6">
    <w:name w:val="heading 6"/>
    <w:basedOn w:val="a"/>
    <w:next w:val="a"/>
    <w:link w:val="60"/>
    <w:uiPriority w:val="9"/>
    <w:semiHidden/>
    <w:unhideWhenUsed/>
    <w:qFormat/>
    <w:pPr>
      <w:spacing w:before="280" w:after="80" w:line="360" w:lineRule="auto"/>
      <w:ind w:firstLine="0"/>
      <w:outlineLvl w:val="5"/>
    </w:pPr>
    <w:rPr>
      <w:rFonts w:ascii="Cambria" w:eastAsia="Times New Roman" w:hAnsi="Cambria" w:cs="Times New Roman"/>
      <w:b/>
      <w:bCs/>
      <w:i/>
      <w:iCs/>
    </w:rPr>
  </w:style>
  <w:style w:type="paragraph" w:styleId="7">
    <w:name w:val="heading 7"/>
    <w:basedOn w:val="a"/>
    <w:next w:val="a"/>
    <w:link w:val="70"/>
    <w:uiPriority w:val="9"/>
    <w:semiHidden/>
    <w:unhideWhenUsed/>
    <w:qFormat/>
    <w:pPr>
      <w:spacing w:before="280" w:after="0" w:line="360" w:lineRule="auto"/>
      <w:ind w:firstLine="0"/>
      <w:outlineLvl w:val="6"/>
    </w:pPr>
    <w:rPr>
      <w:rFonts w:ascii="Cambria" w:eastAsia="Times New Roman" w:hAnsi="Cambria" w:cs="Times New Roman"/>
      <w:b/>
      <w:bCs/>
      <w:i/>
      <w:iCs/>
      <w:sz w:val="20"/>
      <w:szCs w:val="20"/>
    </w:rPr>
  </w:style>
  <w:style w:type="paragraph" w:styleId="8">
    <w:name w:val="heading 8"/>
    <w:basedOn w:val="a"/>
    <w:next w:val="a"/>
    <w:link w:val="80"/>
    <w:uiPriority w:val="9"/>
    <w:semiHidden/>
    <w:unhideWhenUsed/>
    <w:qFormat/>
    <w:pPr>
      <w:spacing w:before="280" w:after="0" w:line="360" w:lineRule="auto"/>
      <w:ind w:firstLine="0"/>
      <w:outlineLvl w:val="7"/>
    </w:pPr>
    <w:rPr>
      <w:rFonts w:ascii="Cambria" w:eastAsia="Times New Roman" w:hAnsi="Cambria" w:cs="Times New Roman"/>
      <w:b/>
      <w:bCs/>
      <w:i/>
      <w:iCs/>
      <w:sz w:val="18"/>
      <w:szCs w:val="18"/>
    </w:rPr>
  </w:style>
  <w:style w:type="paragraph" w:styleId="9">
    <w:name w:val="heading 9"/>
    <w:basedOn w:val="a"/>
    <w:next w:val="a"/>
    <w:link w:val="90"/>
    <w:uiPriority w:val="9"/>
    <w:semiHidden/>
    <w:unhideWhenUsed/>
    <w:qFormat/>
    <w:pPr>
      <w:spacing w:before="280" w:after="0" w:line="360" w:lineRule="auto"/>
      <w:ind w:firstLine="0"/>
      <w:outlineLvl w:val="8"/>
    </w:pPr>
    <w:rPr>
      <w:rFonts w:ascii="Cambria" w:eastAsia="Times New Roman" w:hAnsi="Cambria" w:cs="Times New Roman"/>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3">
    <w:name w:val="header"/>
    <w:basedOn w:val="a"/>
    <w:link w:val="a4"/>
    <w:uiPriority w:val="99"/>
    <w:unhideWhenUsed/>
    <w:pPr>
      <w:tabs>
        <w:tab w:val="center" w:pos="7143"/>
        <w:tab w:val="right" w:pos="14287"/>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character" w:customStyle="1" w:styleId="a6">
    <w:name w:val="Нижний колонтитул Знак"/>
    <w:link w:val="a5"/>
    <w:uiPriority w:val="99"/>
  </w:style>
  <w:style w:type="table" w:styleId="a7">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basedOn w:val="a"/>
    <w:link w:val="a9"/>
    <w:uiPriority w:val="99"/>
    <w:semiHidden/>
    <w:unhideWhenUsed/>
    <w:pPr>
      <w:spacing w:after="40" w:line="240" w:lineRule="auto"/>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2">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able of figures"/>
    <w:basedOn w:val="a"/>
    <w:next w:val="a"/>
    <w:uiPriority w:val="99"/>
    <w:unhideWhenUsed/>
    <w:pPr>
      <w:spacing w:after="0"/>
    </w:pPr>
  </w:style>
  <w:style w:type="character" w:customStyle="1" w:styleId="10">
    <w:name w:val="Заголовок 1 Знак"/>
    <w:link w:val="1"/>
    <w:uiPriority w:val="9"/>
    <w:rPr>
      <w:rFonts w:ascii="Cambria" w:eastAsia="Times New Roman" w:hAnsi="Cambria" w:cs="Times New Roman"/>
      <w:b/>
      <w:bCs/>
      <w:i/>
      <w:iCs/>
      <w:sz w:val="32"/>
      <w:szCs w:val="32"/>
    </w:rPr>
  </w:style>
  <w:style w:type="character" w:customStyle="1" w:styleId="20">
    <w:name w:val="Заголовок 2 Знак"/>
    <w:link w:val="2"/>
    <w:uiPriority w:val="9"/>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i/>
      <w:iCs/>
      <w:sz w:val="26"/>
      <w:szCs w:val="26"/>
    </w:rPr>
  </w:style>
  <w:style w:type="character" w:customStyle="1" w:styleId="40">
    <w:name w:val="Заголовок 4 Знак"/>
    <w:link w:val="4"/>
    <w:uiPriority w:val="9"/>
    <w:semiHidden/>
    <w:rPr>
      <w:rFonts w:ascii="Cambria" w:eastAsia="Times New Roman" w:hAnsi="Cambria" w:cs="Times New Roman"/>
      <w:b/>
      <w:bCs/>
      <w:i/>
      <w:iCs/>
      <w:sz w:val="24"/>
      <w:szCs w:val="24"/>
    </w:rPr>
  </w:style>
  <w:style w:type="character" w:customStyle="1" w:styleId="50">
    <w:name w:val="Заголовок 5 Знак"/>
    <w:link w:val="5"/>
    <w:uiPriority w:val="9"/>
    <w:semiHidden/>
    <w:rPr>
      <w:rFonts w:ascii="Cambria" w:eastAsia="Times New Roman" w:hAnsi="Cambria" w:cs="Times New Roman"/>
      <w:b/>
      <w:bCs/>
      <w:i/>
      <w:iCs/>
    </w:rPr>
  </w:style>
  <w:style w:type="character" w:customStyle="1" w:styleId="60">
    <w:name w:val="Заголовок 6 Знак"/>
    <w:link w:val="6"/>
    <w:uiPriority w:val="9"/>
    <w:semiHidden/>
    <w:rPr>
      <w:rFonts w:ascii="Cambria" w:eastAsia="Times New Roman" w:hAnsi="Cambria" w:cs="Times New Roman"/>
      <w:b/>
      <w:bCs/>
      <w:i/>
      <w:iCs/>
    </w:rPr>
  </w:style>
  <w:style w:type="character" w:customStyle="1" w:styleId="70">
    <w:name w:val="Заголовок 7 Знак"/>
    <w:link w:val="7"/>
    <w:uiPriority w:val="9"/>
    <w:semiHidden/>
    <w:rPr>
      <w:rFonts w:ascii="Cambria" w:eastAsia="Times New Roman" w:hAnsi="Cambria" w:cs="Times New Roman"/>
      <w:b/>
      <w:bCs/>
      <w:i/>
      <w:iCs/>
      <w:sz w:val="20"/>
      <w:szCs w:val="20"/>
    </w:rPr>
  </w:style>
  <w:style w:type="character" w:customStyle="1" w:styleId="80">
    <w:name w:val="Заголовок 8 Знак"/>
    <w:link w:val="8"/>
    <w:uiPriority w:val="9"/>
    <w:semiHidden/>
    <w:rPr>
      <w:rFonts w:ascii="Cambria" w:eastAsia="Times New Roman" w:hAnsi="Cambria" w:cs="Times New Roman"/>
      <w:b/>
      <w:bCs/>
      <w:i/>
      <w:iCs/>
      <w:sz w:val="18"/>
      <w:szCs w:val="18"/>
    </w:rPr>
  </w:style>
  <w:style w:type="character" w:customStyle="1" w:styleId="90">
    <w:name w:val="Заголовок 9 Знак"/>
    <w:link w:val="9"/>
    <w:uiPriority w:val="9"/>
    <w:semiHidden/>
    <w:rPr>
      <w:rFonts w:ascii="Cambria" w:eastAsia="Times New Roman" w:hAnsi="Cambria" w:cs="Times New Roman"/>
      <w:i/>
      <w:iCs/>
      <w:sz w:val="18"/>
      <w:szCs w:val="18"/>
    </w:rPr>
  </w:style>
  <w:style w:type="paragraph" w:styleId="af">
    <w:name w:val="caption"/>
    <w:basedOn w:val="a"/>
    <w:next w:val="a"/>
    <w:uiPriority w:val="35"/>
    <w:semiHidden/>
    <w:unhideWhenUsed/>
    <w:qFormat/>
    <w:rPr>
      <w:b/>
      <w:bCs/>
      <w:sz w:val="18"/>
      <w:szCs w:val="18"/>
    </w:rPr>
  </w:style>
  <w:style w:type="paragraph" w:styleId="af0">
    <w:name w:val="Title"/>
    <w:basedOn w:val="a"/>
    <w:next w:val="a"/>
    <w:link w:val="af1"/>
    <w:uiPriority w:val="10"/>
    <w:qFormat/>
    <w:pPr>
      <w:spacing w:line="240" w:lineRule="auto"/>
      <w:ind w:firstLine="0"/>
    </w:pPr>
    <w:rPr>
      <w:rFonts w:ascii="Cambria" w:eastAsia="Times New Roman" w:hAnsi="Cambria" w:cs="Times New Roman"/>
      <w:b/>
      <w:bCs/>
      <w:i/>
      <w:iCs/>
      <w:spacing w:val="10"/>
      <w:sz w:val="60"/>
      <w:szCs w:val="60"/>
    </w:rPr>
  </w:style>
  <w:style w:type="character" w:customStyle="1" w:styleId="af1">
    <w:name w:val="Заголовок Знак"/>
    <w:link w:val="af0"/>
    <w:uiPriority w:val="10"/>
    <w:rPr>
      <w:rFonts w:ascii="Cambria" w:eastAsia="Times New Roman" w:hAnsi="Cambria" w:cs="Times New Roman"/>
      <w:b/>
      <w:bCs/>
      <w:i/>
      <w:iCs/>
      <w:spacing w:val="10"/>
      <w:sz w:val="60"/>
      <w:szCs w:val="60"/>
    </w:rPr>
  </w:style>
  <w:style w:type="paragraph" w:styleId="af2">
    <w:name w:val="Subtitle"/>
    <w:basedOn w:val="a"/>
    <w:next w:val="a"/>
    <w:link w:val="af3"/>
    <w:uiPriority w:val="11"/>
    <w:qFormat/>
    <w:pPr>
      <w:spacing w:after="320"/>
      <w:jc w:val="right"/>
    </w:pPr>
    <w:rPr>
      <w:i/>
      <w:iCs/>
      <w:color w:val="808080"/>
      <w:spacing w:val="10"/>
      <w:sz w:val="24"/>
      <w:szCs w:val="24"/>
    </w:rPr>
  </w:style>
  <w:style w:type="character" w:customStyle="1" w:styleId="af3">
    <w:name w:val="Подзаголовок Знак"/>
    <w:link w:val="af2"/>
    <w:uiPriority w:val="11"/>
    <w:rPr>
      <w:i/>
      <w:iCs/>
      <w:color w:val="808080"/>
      <w:spacing w:val="10"/>
      <w:sz w:val="24"/>
      <w:szCs w:val="24"/>
    </w:rPr>
  </w:style>
  <w:style w:type="character" w:styleId="af4">
    <w:name w:val="Strong"/>
    <w:uiPriority w:val="22"/>
    <w:qFormat/>
    <w:rPr>
      <w:b/>
      <w:bCs/>
      <w:spacing w:val="0"/>
    </w:rPr>
  </w:style>
  <w:style w:type="character" w:styleId="af5">
    <w:name w:val="Emphasis"/>
    <w:uiPriority w:val="20"/>
    <w:qFormat/>
    <w:rPr>
      <w:b/>
      <w:bCs/>
      <w:i/>
      <w:iCs/>
      <w:color w:val="auto"/>
    </w:rPr>
  </w:style>
  <w:style w:type="paragraph" w:styleId="af6">
    <w:name w:val="No Spacing"/>
    <w:basedOn w:val="a"/>
    <w:uiPriority w:val="1"/>
    <w:qFormat/>
    <w:pPr>
      <w:spacing w:after="0" w:line="240" w:lineRule="auto"/>
      <w:ind w:firstLine="0"/>
    </w:pPr>
  </w:style>
  <w:style w:type="paragraph" w:styleId="af7">
    <w:name w:val="List Paragraph"/>
    <w:basedOn w:val="a"/>
    <w:uiPriority w:val="34"/>
    <w:qFormat/>
    <w:pPr>
      <w:ind w:left="720"/>
      <w:contextualSpacing/>
    </w:pPr>
  </w:style>
  <w:style w:type="paragraph" w:styleId="23">
    <w:name w:val="Quote"/>
    <w:basedOn w:val="a"/>
    <w:next w:val="a"/>
    <w:link w:val="24"/>
    <w:uiPriority w:val="29"/>
    <w:qFormat/>
    <w:rPr>
      <w:rFonts w:ascii="Calibri"/>
      <w:color w:val="5A5A5A"/>
    </w:rPr>
  </w:style>
  <w:style w:type="character" w:customStyle="1" w:styleId="24">
    <w:name w:val="Цитата 2 Знак"/>
    <w:link w:val="23"/>
    <w:uiPriority w:val="29"/>
    <w:rPr>
      <w:rFonts w:ascii="Calibri"/>
      <w:color w:val="5A5A5A"/>
    </w:rPr>
  </w:style>
  <w:style w:type="paragraph" w:styleId="af8">
    <w:name w:val="Intense Quote"/>
    <w:basedOn w:val="a"/>
    <w:next w:val="a"/>
    <w:link w:val="af9"/>
    <w:uiPriority w:val="30"/>
    <w:qFormat/>
    <w:pPr>
      <w:spacing w:before="320" w:after="480" w:line="240" w:lineRule="auto"/>
      <w:ind w:left="720" w:right="720" w:firstLine="0"/>
      <w:jc w:val="center"/>
    </w:pPr>
    <w:rPr>
      <w:rFonts w:ascii="Cambria" w:eastAsia="Times New Roman" w:hAnsi="Cambria" w:cs="Times New Roman"/>
      <w:i/>
      <w:iCs/>
      <w:sz w:val="20"/>
      <w:szCs w:val="20"/>
    </w:rPr>
  </w:style>
  <w:style w:type="character" w:customStyle="1" w:styleId="af9">
    <w:name w:val="Выделенная цитата Знак"/>
    <w:link w:val="af8"/>
    <w:uiPriority w:val="30"/>
    <w:rPr>
      <w:rFonts w:ascii="Cambria" w:eastAsia="Times New Roman" w:hAnsi="Cambria" w:cs="Times New Roman"/>
      <w:i/>
      <w:iCs/>
      <w:sz w:val="20"/>
      <w:szCs w:val="20"/>
    </w:rPr>
  </w:style>
  <w:style w:type="character" w:styleId="afa">
    <w:name w:val="Subtle Emphasis"/>
    <w:uiPriority w:val="19"/>
    <w:qFormat/>
    <w:rPr>
      <w:i/>
      <w:iCs/>
      <w:color w:val="5A5A5A"/>
    </w:rPr>
  </w:style>
  <w:style w:type="character" w:styleId="afb">
    <w:name w:val="Intense Emphasis"/>
    <w:uiPriority w:val="21"/>
    <w:qFormat/>
    <w:rPr>
      <w:b/>
      <w:bCs/>
      <w:i/>
      <w:iCs/>
      <w:color w:val="auto"/>
      <w:u w:val="single"/>
    </w:rPr>
  </w:style>
  <w:style w:type="character" w:styleId="afc">
    <w:name w:val="Subtle Reference"/>
    <w:uiPriority w:val="31"/>
    <w:qFormat/>
    <w:rPr>
      <w:smallCaps/>
    </w:rPr>
  </w:style>
  <w:style w:type="character" w:styleId="afd">
    <w:name w:val="Intense Reference"/>
    <w:uiPriority w:val="32"/>
    <w:qFormat/>
    <w:rPr>
      <w:b/>
      <w:bCs/>
      <w:smallCaps/>
      <w:color w:val="auto"/>
    </w:rPr>
  </w:style>
  <w:style w:type="character" w:styleId="afe">
    <w:name w:val="Book Title"/>
    <w:uiPriority w:val="33"/>
    <w:qFormat/>
    <w:rPr>
      <w:rFonts w:ascii="Cambria" w:eastAsia="Times New Roman" w:hAnsi="Cambria" w:cs="Times New Roman"/>
      <w:b/>
      <w:bCs/>
      <w:smallCaps/>
      <w:color w:val="auto"/>
      <w:u w:val="single"/>
    </w:rPr>
  </w:style>
  <w:style w:type="paragraph" w:styleId="aff">
    <w:name w:val="TOC Heading"/>
    <w:basedOn w:val="1"/>
    <w:next w:val="a"/>
    <w:uiPriority w:val="39"/>
    <w:semiHidden/>
    <w:unhideWhenUsed/>
    <w:qFormat/>
    <w:pPr>
      <w:outlineLvl w:val="9"/>
    </w:pPr>
    <w:rPr>
      <w:lang w:bidi="en-US"/>
    </w:rPr>
  </w:style>
  <w:style w:type="character" w:styleId="aff0">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dc:creator>
  <cp:keywords/>
  <dc:description/>
  <cp:lastModifiedBy>User-22</cp:lastModifiedBy>
  <cp:revision>240</cp:revision>
  <dcterms:created xsi:type="dcterms:W3CDTF">2023-04-03T08:48:00Z</dcterms:created>
  <dcterms:modified xsi:type="dcterms:W3CDTF">2026-05-12T08:09:00Z</dcterms:modified>
</cp:coreProperties>
</file>